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2: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Weimar Republic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characteristics best describe life in the Weimar Republic?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were some economic, political, and social problems during the Weimar Republic? What role did WWI and the Treaty of Versailles play in creating some of these problems?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might life during the Weimar Republic in Germany help explain the later victory of the Nazi Party?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Joseph’s Childhood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did Joe's family blend Jewish traditions with the larger cosmopolitan culture of his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were two enjoyable aspects of Joe's childhood (besides his time with girls!)?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do you know from the text that Myra came from a middle-class family?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Why do you think everyone is so dressed up in these photographs?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Myra’s Family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did Myra's family blend Jewish traditions with the larger cosmopolitan culture of her time?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What were two enjoyable aspects of Myra's childhood?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How do you know from the text that Myra came from a wealthy family?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What is one fascinating detail you see in the photographs of Myra's childhood?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IMAGE from artifacts 2-7 from the main exhibit page, copy the guiding questions into the boxes below, and respond to them: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2: Photograph of protests against the Treaty of Versailles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3: Photograph "Butchering a Horse"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4: Photograph "Family Shares a Single Sausage for Dinner"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5: Photograph "Line outside a Berlin Grocery"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6: Photograph "Wallpapering"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Artifact 7: Photograph "Unemployed"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TEXT from artifacts 1 or 8-10 from the main exhibit page, copy the guiding questions into the boxes below, and respond to them: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Artifact 1: Text excerpts from the Treaty of Versailles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Artifact 8: Excerpt from Friedrich Kroner's "Overwrought Nerves"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Artifact 9: Excerpt from Betty Scholem's "On the Depression"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Artifact 10: Excerpt from Gershom Scholem's "On the Atmosphere in Munich in the early 1920s"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