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Brandman Holocaust Memorial Museum Day 1: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Jewish Life Before the Holocaust Exhibit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 which areas of Europe did most Jews live in the 1930s?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was the name of the German democratic government between 1919-33?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Joseph’s Family</w:t>
      </w:r>
    </w:p>
    <w:p w:rsidR="00000000" w:rsidDel="00000000" w:rsidP="00000000" w:rsidRDefault="00000000" w:rsidRPr="00000000" w14:paraId="0000000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What are examples of how Joseph and his family lived a traditional Jewish 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How did World War I affect Joseph's birth?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What does the photograph tell you about Joseph's family? (He is the boy third from the left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Myra’s Family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14141"/>
                <w:sz w:val="26"/>
                <w:szCs w:val="26"/>
                <w:rtl w:val="0"/>
              </w:rPr>
              <w:t xml:space="preserve">What are examples of how Myra's family lived a less traditional Jewish life?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14141"/>
                <w:sz w:val="26"/>
                <w:szCs w:val="26"/>
                <w:rtl w:val="0"/>
              </w:rPr>
              <w:t xml:space="preserve">Even though he was not religious, how did Abram still demonstrate Jewish values toward the poor?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14141"/>
                <w:sz w:val="26"/>
                <w:szCs w:val="26"/>
                <w:rtl w:val="0"/>
              </w:rPr>
              <w:t xml:space="preserve">What does the photograph tell you about Myra's parents?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one artifact from the main exhibit page, copy the guiding questions into the boxes below, and respond to them: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Artifact Name: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Optional Second Artifact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Artifact Name: 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